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B20C37">
      <w:pPr>
        <w:rPr>
          <w:rFonts w:hint="eastAsia" w:ascii="黑体" w:hAnsi="黑体" w:eastAsia="黑体" w:cs="黑体"/>
          <w:lang w:val="en-US" w:eastAsia="zh-CN"/>
        </w:rPr>
      </w:pPr>
      <w:r>
        <w:rPr>
          <w:rFonts w:hint="eastAsia" w:ascii="黑体" w:hAnsi="黑体" w:eastAsia="黑体" w:cs="黑体"/>
          <w:lang w:val="en-US" w:eastAsia="zh-CN"/>
        </w:rPr>
        <w:t>附件2：</w:t>
      </w:r>
    </w:p>
    <w:p w14:paraId="0A451893">
      <w:pPr>
        <w:jc w:val="center"/>
        <w:rPr>
          <w:rFonts w:hint="eastAsia" w:ascii="方正小标宋简体" w:hAnsi="方正小标宋简体" w:eastAsia="方正小标宋简体" w:cs="方正小标宋简体"/>
          <w:sz w:val="36"/>
          <w:szCs w:val="24"/>
        </w:rPr>
      </w:pPr>
      <w:r>
        <w:rPr>
          <w:rFonts w:hint="eastAsia" w:ascii="方正小标宋简体" w:hAnsi="方正小标宋简体" w:eastAsia="方正小标宋简体" w:cs="方正小标宋简体"/>
          <w:sz w:val="36"/>
          <w:szCs w:val="24"/>
        </w:rPr>
        <w:t>2024年“普惠金融·青春践行”大学生社会实践竞赛</w:t>
      </w:r>
    </w:p>
    <w:p w14:paraId="625C5C8E">
      <w:pPr>
        <w:jc w:val="center"/>
        <w:rPr>
          <w:rFonts w:hint="eastAsia" w:ascii="方正小标宋简体" w:hAnsi="方正小标宋简体" w:eastAsia="方正小标宋简体" w:cs="方正小标宋简体"/>
          <w:sz w:val="36"/>
          <w:szCs w:val="24"/>
        </w:rPr>
      </w:pPr>
      <w:r>
        <w:rPr>
          <w:rFonts w:hint="eastAsia" w:ascii="方正小标宋简体" w:hAnsi="方正小标宋简体" w:eastAsia="方正小标宋简体" w:cs="方正小标宋简体"/>
          <w:sz w:val="36"/>
          <w:szCs w:val="24"/>
        </w:rPr>
        <w:t>决赛方案</w:t>
      </w:r>
    </w:p>
    <w:p w14:paraId="2E0BB487">
      <w:pPr>
        <w:jc w:val="center"/>
        <w:rPr>
          <w:rFonts w:hint="eastAsia" w:ascii="方正小标宋简体" w:hAnsi="方正小标宋简体" w:eastAsia="方正小标宋简体" w:cs="方正小标宋简体"/>
          <w:sz w:val="36"/>
          <w:szCs w:val="24"/>
        </w:rPr>
      </w:pPr>
    </w:p>
    <w:p w14:paraId="3A205074">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黑体" w:hAnsi="黑体" w:cs="Times New Roman"/>
          <w:szCs w:val="32"/>
        </w:rPr>
      </w:pPr>
      <w:r>
        <w:rPr>
          <w:rFonts w:hint="eastAsia"/>
          <w:szCs w:val="32"/>
        </w:rPr>
        <w:t>2024年“普惠金融·青春践行”大学生社会实践竞赛在各院校积极参与和公益项目评审专家库专家认真评审下，顺利完成线上初赛环节，根据《“普惠金融·青春践行”大学生社会实践竞赛实施方案》</w:t>
      </w:r>
      <w:r>
        <w:rPr>
          <w:rFonts w:hint="eastAsia"/>
        </w:rPr>
        <w:t>，将通过现场决赛分别决出A组、B组一等奖、二等奖。赛事具体事项安排如下：</w:t>
      </w:r>
    </w:p>
    <w:p w14:paraId="405E3BD7">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Times New Roman"/>
          <w:szCs w:val="32"/>
        </w:rPr>
      </w:pPr>
      <w:r>
        <w:rPr>
          <w:rFonts w:hint="eastAsia" w:ascii="黑体" w:hAnsi="黑体" w:eastAsia="黑体" w:cs="Times New Roman"/>
          <w:szCs w:val="32"/>
        </w:rPr>
        <w:t>一、赛程</w:t>
      </w:r>
    </w:p>
    <w:tbl>
      <w:tblPr>
        <w:tblStyle w:val="3"/>
        <w:tblW w:w="90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5"/>
        <w:gridCol w:w="2000"/>
        <w:gridCol w:w="5417"/>
      </w:tblGrid>
      <w:tr w14:paraId="01F79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5" w:type="dxa"/>
          </w:tcPr>
          <w:p w14:paraId="1976EEE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b/>
                <w:bCs/>
                <w:sz w:val="28"/>
                <w:szCs w:val="28"/>
              </w:rPr>
            </w:pPr>
            <w:r>
              <w:rPr>
                <w:rFonts w:hint="eastAsia"/>
                <w:b/>
                <w:bCs/>
                <w:sz w:val="28"/>
                <w:szCs w:val="28"/>
              </w:rPr>
              <w:t>日期</w:t>
            </w:r>
          </w:p>
        </w:tc>
        <w:tc>
          <w:tcPr>
            <w:tcW w:w="2000" w:type="dxa"/>
          </w:tcPr>
          <w:p w14:paraId="5E2373F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b/>
                <w:bCs/>
                <w:sz w:val="28"/>
                <w:szCs w:val="28"/>
              </w:rPr>
            </w:pPr>
            <w:r>
              <w:rPr>
                <w:rFonts w:hint="eastAsia"/>
                <w:b/>
                <w:bCs/>
                <w:sz w:val="28"/>
                <w:szCs w:val="28"/>
              </w:rPr>
              <w:t>时间</w:t>
            </w:r>
          </w:p>
        </w:tc>
        <w:tc>
          <w:tcPr>
            <w:tcW w:w="5417" w:type="dxa"/>
          </w:tcPr>
          <w:p w14:paraId="101DD0E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b/>
                <w:bCs/>
                <w:sz w:val="28"/>
                <w:szCs w:val="28"/>
              </w:rPr>
            </w:pPr>
            <w:r>
              <w:rPr>
                <w:rFonts w:hint="eastAsia"/>
                <w:b/>
                <w:bCs/>
                <w:sz w:val="28"/>
                <w:szCs w:val="28"/>
              </w:rPr>
              <w:t>内容</w:t>
            </w:r>
          </w:p>
        </w:tc>
      </w:tr>
      <w:tr w14:paraId="3894A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625" w:type="dxa"/>
            <w:vAlign w:val="center"/>
          </w:tcPr>
          <w:p w14:paraId="7E2FA42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sz w:val="28"/>
                <w:szCs w:val="28"/>
              </w:rPr>
            </w:pPr>
            <w:r>
              <w:rPr>
                <w:rFonts w:hint="eastAsia"/>
                <w:sz w:val="28"/>
                <w:szCs w:val="28"/>
              </w:rPr>
              <w:t>11月8日</w:t>
            </w:r>
          </w:p>
        </w:tc>
        <w:tc>
          <w:tcPr>
            <w:tcW w:w="2000" w:type="dxa"/>
            <w:vAlign w:val="center"/>
          </w:tcPr>
          <w:p w14:paraId="6C7ADDA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sz w:val="28"/>
                <w:szCs w:val="28"/>
              </w:rPr>
            </w:pPr>
            <w:r>
              <w:rPr>
                <w:rFonts w:hint="eastAsia"/>
                <w:sz w:val="28"/>
                <w:szCs w:val="28"/>
              </w:rPr>
              <w:t>全天</w:t>
            </w:r>
          </w:p>
        </w:tc>
        <w:tc>
          <w:tcPr>
            <w:tcW w:w="5417" w:type="dxa"/>
            <w:vAlign w:val="center"/>
          </w:tcPr>
          <w:p w14:paraId="3DE485F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eastAsia="仿宋_GB2312"/>
                <w:sz w:val="28"/>
                <w:szCs w:val="28"/>
                <w:lang w:val="en-US" w:eastAsia="zh-CN"/>
              </w:rPr>
            </w:pPr>
            <w:r>
              <w:rPr>
                <w:rFonts w:hint="eastAsia"/>
                <w:sz w:val="28"/>
                <w:szCs w:val="28"/>
              </w:rPr>
              <w:t>参赛</w:t>
            </w:r>
            <w:r>
              <w:rPr>
                <w:rFonts w:hint="eastAsia"/>
                <w:sz w:val="28"/>
                <w:szCs w:val="28"/>
                <w:lang w:val="en-US" w:eastAsia="zh-CN"/>
              </w:rPr>
              <w:t>队伍</w:t>
            </w:r>
            <w:r>
              <w:rPr>
                <w:rFonts w:hint="eastAsia"/>
                <w:sz w:val="28"/>
                <w:szCs w:val="28"/>
              </w:rPr>
              <w:t>报到并抽签</w:t>
            </w:r>
            <w:r>
              <w:rPr>
                <w:rFonts w:hint="eastAsia"/>
                <w:sz w:val="28"/>
                <w:szCs w:val="28"/>
                <w:lang w:eastAsia="zh-CN"/>
              </w:rPr>
              <w:t>、</w:t>
            </w:r>
            <w:r>
              <w:rPr>
                <w:rFonts w:hint="eastAsia"/>
                <w:sz w:val="28"/>
                <w:szCs w:val="28"/>
                <w:lang w:val="en-US" w:eastAsia="zh-CN"/>
              </w:rPr>
              <w:t>拷贝展示材料</w:t>
            </w:r>
          </w:p>
        </w:tc>
      </w:tr>
      <w:tr w14:paraId="66C1A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625" w:type="dxa"/>
            <w:vMerge w:val="restart"/>
            <w:vAlign w:val="center"/>
          </w:tcPr>
          <w:p w14:paraId="475002F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sz w:val="28"/>
                <w:szCs w:val="28"/>
              </w:rPr>
            </w:pPr>
            <w:r>
              <w:rPr>
                <w:rFonts w:hint="eastAsia"/>
                <w:sz w:val="28"/>
                <w:szCs w:val="28"/>
              </w:rPr>
              <w:t>11月9日</w:t>
            </w:r>
          </w:p>
        </w:tc>
        <w:tc>
          <w:tcPr>
            <w:tcW w:w="2000" w:type="dxa"/>
            <w:vAlign w:val="center"/>
          </w:tcPr>
          <w:p w14:paraId="706D88C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sz w:val="28"/>
                <w:szCs w:val="28"/>
              </w:rPr>
            </w:pPr>
            <w:r>
              <w:rPr>
                <w:rFonts w:hint="eastAsia"/>
                <w:sz w:val="28"/>
                <w:szCs w:val="28"/>
              </w:rPr>
              <w:t>8:00-8:30</w:t>
            </w:r>
          </w:p>
        </w:tc>
        <w:tc>
          <w:tcPr>
            <w:tcW w:w="5417" w:type="dxa"/>
            <w:vAlign w:val="center"/>
          </w:tcPr>
          <w:p w14:paraId="4E9B23F5">
            <w:pPr>
              <w:keepNext w:val="0"/>
              <w:keepLines w:val="0"/>
              <w:pageBreakBefore w:val="0"/>
              <w:widowControl w:val="0"/>
              <w:kinsoku/>
              <w:wordWrap/>
              <w:overflowPunct/>
              <w:topLinePunct w:val="0"/>
              <w:autoSpaceDE/>
              <w:autoSpaceDN/>
              <w:bidi w:val="0"/>
              <w:adjustRightInd/>
              <w:snapToGrid/>
              <w:spacing w:line="560" w:lineRule="exact"/>
              <w:textAlignment w:val="auto"/>
              <w:rPr>
                <w:sz w:val="28"/>
                <w:szCs w:val="28"/>
              </w:rPr>
            </w:pPr>
            <w:r>
              <w:rPr>
                <w:rFonts w:hint="eastAsia"/>
                <w:sz w:val="28"/>
                <w:szCs w:val="28"/>
              </w:rPr>
              <w:t>赛前准备</w:t>
            </w:r>
          </w:p>
        </w:tc>
      </w:tr>
      <w:tr w14:paraId="6C888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625" w:type="dxa"/>
            <w:vMerge w:val="continue"/>
            <w:vAlign w:val="center"/>
          </w:tcPr>
          <w:p w14:paraId="21977E4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sz w:val="28"/>
                <w:szCs w:val="28"/>
              </w:rPr>
            </w:pPr>
          </w:p>
        </w:tc>
        <w:tc>
          <w:tcPr>
            <w:tcW w:w="2000" w:type="dxa"/>
            <w:vAlign w:val="center"/>
          </w:tcPr>
          <w:p w14:paraId="333512A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28"/>
                <w:szCs w:val="28"/>
              </w:rPr>
            </w:pPr>
            <w:r>
              <w:rPr>
                <w:rFonts w:hint="eastAsia"/>
                <w:sz w:val="28"/>
                <w:szCs w:val="28"/>
              </w:rPr>
              <w:t>8:30-8:50</w:t>
            </w:r>
          </w:p>
        </w:tc>
        <w:tc>
          <w:tcPr>
            <w:tcW w:w="5417" w:type="dxa"/>
            <w:vAlign w:val="center"/>
          </w:tcPr>
          <w:p w14:paraId="5EDAD31F">
            <w:pPr>
              <w:keepNext w:val="0"/>
              <w:keepLines w:val="0"/>
              <w:pageBreakBefore w:val="0"/>
              <w:widowControl w:val="0"/>
              <w:kinsoku/>
              <w:wordWrap/>
              <w:overflowPunct/>
              <w:topLinePunct w:val="0"/>
              <w:autoSpaceDE/>
              <w:autoSpaceDN/>
              <w:bidi w:val="0"/>
              <w:adjustRightInd/>
              <w:snapToGrid/>
              <w:spacing w:line="560" w:lineRule="exact"/>
              <w:textAlignment w:val="auto"/>
              <w:rPr>
                <w:sz w:val="28"/>
                <w:szCs w:val="28"/>
              </w:rPr>
            </w:pPr>
            <w:r>
              <w:rPr>
                <w:rFonts w:hint="eastAsia"/>
                <w:sz w:val="28"/>
                <w:szCs w:val="28"/>
              </w:rPr>
              <w:t>领导讲话，介绍比赛规则</w:t>
            </w:r>
          </w:p>
        </w:tc>
      </w:tr>
      <w:tr w14:paraId="6EF0F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625" w:type="dxa"/>
            <w:vMerge w:val="continue"/>
            <w:vAlign w:val="center"/>
          </w:tcPr>
          <w:p w14:paraId="4F1B760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sz w:val="28"/>
                <w:szCs w:val="28"/>
              </w:rPr>
            </w:pPr>
          </w:p>
        </w:tc>
        <w:tc>
          <w:tcPr>
            <w:tcW w:w="2000" w:type="dxa"/>
            <w:vAlign w:val="center"/>
          </w:tcPr>
          <w:p w14:paraId="0837DDF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28"/>
                <w:szCs w:val="28"/>
              </w:rPr>
            </w:pPr>
            <w:r>
              <w:rPr>
                <w:rFonts w:hint="eastAsia"/>
                <w:sz w:val="28"/>
                <w:szCs w:val="28"/>
              </w:rPr>
              <w:t>8:50-11:30</w:t>
            </w:r>
          </w:p>
        </w:tc>
        <w:tc>
          <w:tcPr>
            <w:tcW w:w="5417" w:type="dxa"/>
            <w:vAlign w:val="center"/>
          </w:tcPr>
          <w:p w14:paraId="0A048D7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eastAsia="仿宋_GB2312"/>
                <w:sz w:val="28"/>
                <w:szCs w:val="28"/>
                <w:lang w:val="en-US" w:eastAsia="zh-CN"/>
              </w:rPr>
            </w:pPr>
            <w:r>
              <w:rPr>
                <w:rFonts w:hint="eastAsia"/>
                <w:sz w:val="28"/>
                <w:szCs w:val="28"/>
                <w:lang w:val="en-US" w:eastAsia="zh-CN"/>
              </w:rPr>
              <w:t>选手展示，评委提问</w:t>
            </w:r>
          </w:p>
        </w:tc>
      </w:tr>
      <w:tr w14:paraId="613FF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625" w:type="dxa"/>
            <w:vMerge w:val="continue"/>
            <w:vAlign w:val="center"/>
          </w:tcPr>
          <w:p w14:paraId="7B93091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sz w:val="28"/>
                <w:szCs w:val="28"/>
              </w:rPr>
            </w:pPr>
          </w:p>
        </w:tc>
        <w:tc>
          <w:tcPr>
            <w:tcW w:w="2000" w:type="dxa"/>
            <w:vAlign w:val="center"/>
          </w:tcPr>
          <w:p w14:paraId="53C77B9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28"/>
                <w:szCs w:val="28"/>
              </w:rPr>
            </w:pPr>
            <w:r>
              <w:rPr>
                <w:rFonts w:hint="eastAsia"/>
                <w:sz w:val="28"/>
                <w:szCs w:val="28"/>
              </w:rPr>
              <w:t>11:30-12:00</w:t>
            </w:r>
          </w:p>
        </w:tc>
        <w:tc>
          <w:tcPr>
            <w:tcW w:w="5417" w:type="dxa"/>
            <w:vAlign w:val="center"/>
          </w:tcPr>
          <w:p w14:paraId="0DAC4456">
            <w:pPr>
              <w:keepNext w:val="0"/>
              <w:keepLines w:val="0"/>
              <w:pageBreakBefore w:val="0"/>
              <w:widowControl w:val="0"/>
              <w:kinsoku/>
              <w:wordWrap/>
              <w:overflowPunct/>
              <w:topLinePunct w:val="0"/>
              <w:autoSpaceDE/>
              <w:autoSpaceDN/>
              <w:bidi w:val="0"/>
              <w:adjustRightInd/>
              <w:snapToGrid/>
              <w:spacing w:line="560" w:lineRule="exact"/>
              <w:textAlignment w:val="auto"/>
              <w:rPr>
                <w:sz w:val="28"/>
                <w:szCs w:val="28"/>
              </w:rPr>
            </w:pPr>
            <w:r>
              <w:rPr>
                <w:rFonts w:hint="eastAsia"/>
                <w:sz w:val="28"/>
                <w:szCs w:val="28"/>
              </w:rPr>
              <w:t>统计分数，宣读比赛结果，举行颁奖仪式</w:t>
            </w:r>
          </w:p>
        </w:tc>
      </w:tr>
      <w:tr w14:paraId="2D450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625" w:type="dxa"/>
            <w:vMerge w:val="continue"/>
            <w:vAlign w:val="center"/>
          </w:tcPr>
          <w:p w14:paraId="3E2B45B4">
            <w:pPr>
              <w:keepNext w:val="0"/>
              <w:keepLines w:val="0"/>
              <w:pageBreakBefore w:val="0"/>
              <w:widowControl w:val="0"/>
              <w:kinsoku/>
              <w:wordWrap/>
              <w:overflowPunct/>
              <w:topLinePunct w:val="0"/>
              <w:autoSpaceDE/>
              <w:autoSpaceDN/>
              <w:bidi w:val="0"/>
              <w:adjustRightInd/>
              <w:snapToGrid/>
              <w:spacing w:line="560" w:lineRule="exact"/>
              <w:textAlignment w:val="auto"/>
              <w:rPr>
                <w:sz w:val="28"/>
                <w:szCs w:val="28"/>
              </w:rPr>
            </w:pPr>
          </w:p>
        </w:tc>
        <w:tc>
          <w:tcPr>
            <w:tcW w:w="2000" w:type="dxa"/>
            <w:vAlign w:val="center"/>
          </w:tcPr>
          <w:p w14:paraId="221D395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sz w:val="28"/>
                <w:szCs w:val="28"/>
              </w:rPr>
            </w:pPr>
            <w:r>
              <w:rPr>
                <w:rFonts w:hint="eastAsia"/>
                <w:sz w:val="28"/>
                <w:szCs w:val="28"/>
              </w:rPr>
              <w:t>下午</w:t>
            </w:r>
          </w:p>
        </w:tc>
        <w:tc>
          <w:tcPr>
            <w:tcW w:w="5417" w:type="dxa"/>
            <w:vAlign w:val="center"/>
          </w:tcPr>
          <w:p w14:paraId="49317141">
            <w:pPr>
              <w:keepNext w:val="0"/>
              <w:keepLines w:val="0"/>
              <w:pageBreakBefore w:val="0"/>
              <w:widowControl w:val="0"/>
              <w:kinsoku/>
              <w:wordWrap/>
              <w:overflowPunct/>
              <w:topLinePunct w:val="0"/>
              <w:autoSpaceDE/>
              <w:autoSpaceDN/>
              <w:bidi w:val="0"/>
              <w:adjustRightInd/>
              <w:snapToGrid/>
              <w:spacing w:line="560" w:lineRule="exact"/>
              <w:textAlignment w:val="auto"/>
              <w:rPr>
                <w:sz w:val="28"/>
                <w:szCs w:val="28"/>
              </w:rPr>
            </w:pPr>
            <w:r>
              <w:rPr>
                <w:rFonts w:hint="eastAsia"/>
                <w:sz w:val="28"/>
                <w:szCs w:val="28"/>
              </w:rPr>
              <w:t>返程</w:t>
            </w:r>
          </w:p>
        </w:tc>
      </w:tr>
    </w:tbl>
    <w:p w14:paraId="051C7D5E">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Times New Roman"/>
          <w:szCs w:val="32"/>
        </w:rPr>
      </w:pPr>
      <w:r>
        <w:rPr>
          <w:rFonts w:hint="eastAsia" w:ascii="黑体" w:hAnsi="黑体" w:eastAsia="黑体" w:cs="Times New Roman"/>
          <w:szCs w:val="32"/>
        </w:rPr>
        <w:t>二、抽签</w:t>
      </w:r>
    </w:p>
    <w:p w14:paraId="00158D1D">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szCs w:val="32"/>
        </w:rPr>
      </w:pPr>
      <w:r>
        <w:rPr>
          <w:rFonts w:hint="eastAsia"/>
          <w:szCs w:val="32"/>
        </w:rPr>
        <w:t>进入决赛的队伍分为两个场地同时开展决赛，通过报到时的抽签确定所在场地及出场顺序。</w:t>
      </w:r>
    </w:p>
    <w:p w14:paraId="4385A147">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szCs w:val="32"/>
        </w:rPr>
      </w:pPr>
      <w:r>
        <w:rPr>
          <w:rFonts w:hint="eastAsia"/>
          <w:szCs w:val="32"/>
        </w:rPr>
        <w:t>决赛采用混合评审、分别评奖的方式。即展示答辩时不分A组、B组，由评委对场内每支队伍打分，评奖时A组、B组分别根据打分排名确定奖项。</w:t>
      </w:r>
    </w:p>
    <w:p w14:paraId="19B0E587">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szCs w:val="32"/>
        </w:rPr>
      </w:pPr>
      <w:r>
        <w:rPr>
          <w:rFonts w:hint="eastAsia" w:ascii="黑体" w:hAnsi="黑体" w:eastAsia="黑体" w:cs="黑体"/>
          <w:szCs w:val="32"/>
        </w:rPr>
        <w:t>三、比赛形式</w:t>
      </w:r>
    </w:p>
    <w:p w14:paraId="67725D3F">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szCs w:val="32"/>
        </w:rPr>
      </w:pPr>
      <w:r>
        <w:rPr>
          <w:rFonts w:hint="eastAsia"/>
          <w:szCs w:val="32"/>
          <w:highlight w:val="none"/>
          <w:lang w:val="en-US" w:eastAsia="zh-CN"/>
        </w:rPr>
        <w:t>参赛队伍</w:t>
      </w:r>
      <w:r>
        <w:rPr>
          <w:rFonts w:hint="eastAsia"/>
          <w:szCs w:val="32"/>
        </w:rPr>
        <w:t>采用PPT展示</w:t>
      </w:r>
      <w:r>
        <w:rPr>
          <w:rFonts w:hint="eastAsia"/>
          <w:szCs w:val="32"/>
          <w:lang w:eastAsia="zh-CN"/>
        </w:rPr>
        <w:t>的</w:t>
      </w:r>
      <w:r>
        <w:rPr>
          <w:rFonts w:hint="eastAsia"/>
          <w:szCs w:val="32"/>
          <w:lang w:val="en-US" w:eastAsia="zh-CN"/>
        </w:rPr>
        <w:t>形式</w:t>
      </w:r>
      <w:r>
        <w:rPr>
          <w:rFonts w:hint="eastAsia"/>
          <w:szCs w:val="32"/>
        </w:rPr>
        <w:t>，简要介绍调查报告的主要内容，着重阐述报告的主要发现、对策建议、创新之处，以及其他需要补充说明的问题。展示时间不超过</w:t>
      </w:r>
      <w:r>
        <w:rPr>
          <w:rFonts w:hint="eastAsia"/>
          <w:szCs w:val="32"/>
          <w:lang w:val="en-US" w:eastAsia="zh-CN"/>
        </w:rPr>
        <w:t>6</w:t>
      </w:r>
      <w:r>
        <w:rPr>
          <w:rFonts w:hint="eastAsia"/>
          <w:szCs w:val="32"/>
        </w:rPr>
        <w:t>分钟。展示后，评委会专家提问，团队代表答辩。提问答辩时间不超过3分钟。</w:t>
      </w:r>
    </w:p>
    <w:p w14:paraId="358ABA61">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szCs w:val="32"/>
        </w:rPr>
      </w:pPr>
      <w:r>
        <w:rPr>
          <w:rFonts w:hint="eastAsia" w:ascii="黑体" w:hAnsi="黑体" w:eastAsia="黑体" w:cs="黑体"/>
          <w:szCs w:val="32"/>
        </w:rPr>
        <w:t>四、评分规则</w:t>
      </w:r>
    </w:p>
    <w:p w14:paraId="61DFD4C1">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szCs w:val="32"/>
        </w:rPr>
      </w:pPr>
      <w:r>
        <w:rPr>
          <w:rFonts w:hint="eastAsia"/>
          <w:szCs w:val="32"/>
          <w:highlight w:val="none"/>
        </w:rPr>
        <w:t>决赛评审采用百分制，报告内容成绩占</w:t>
      </w:r>
      <w:r>
        <w:rPr>
          <w:rFonts w:hint="eastAsia"/>
          <w:szCs w:val="32"/>
          <w:highlight w:val="none"/>
          <w:lang w:val="en-US" w:eastAsia="zh-CN"/>
        </w:rPr>
        <w:t>6</w:t>
      </w:r>
      <w:r>
        <w:rPr>
          <w:rFonts w:hint="eastAsia"/>
          <w:szCs w:val="32"/>
          <w:highlight w:val="none"/>
        </w:rPr>
        <w:t>0%，展示答辩成绩占</w:t>
      </w:r>
      <w:r>
        <w:rPr>
          <w:rFonts w:hint="eastAsia"/>
          <w:szCs w:val="32"/>
          <w:highlight w:val="none"/>
          <w:lang w:val="en-US" w:eastAsia="zh-CN"/>
        </w:rPr>
        <w:t>4</w:t>
      </w:r>
      <w:r>
        <w:rPr>
          <w:rFonts w:hint="eastAsia"/>
          <w:szCs w:val="32"/>
          <w:highlight w:val="none"/>
        </w:rPr>
        <w:t>0%。评</w:t>
      </w:r>
      <w:r>
        <w:rPr>
          <w:rFonts w:hint="eastAsia"/>
          <w:szCs w:val="32"/>
        </w:rPr>
        <w:t>审采取本校评委回避制，现场成绩去掉一个最高分和一个最低分后，取平均分为最终成绩。</w:t>
      </w:r>
    </w:p>
    <w:p w14:paraId="2ECD6F5A">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szCs w:val="32"/>
        </w:rPr>
      </w:pPr>
      <w:r>
        <w:rPr>
          <w:rFonts w:hint="eastAsia"/>
          <w:szCs w:val="32"/>
        </w:rPr>
        <w:t>每队展示答辩后，由工作人员收集评分表并统计分数，在本</w:t>
      </w:r>
      <w:r>
        <w:rPr>
          <w:rFonts w:hint="eastAsia"/>
          <w:szCs w:val="32"/>
          <w:lang w:val="en-US" w:eastAsia="zh-CN"/>
        </w:rPr>
        <w:t>场地</w:t>
      </w:r>
      <w:r>
        <w:rPr>
          <w:rFonts w:hint="eastAsia"/>
          <w:szCs w:val="32"/>
        </w:rPr>
        <w:t>所有队伍完成展示答辩后，统一公布分数；两个场地均完成展示答辩后，汇总分数并将A组、B组团队成绩分别排列后确定奖项。</w:t>
      </w:r>
    </w:p>
    <w:p w14:paraId="3792C521">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szCs w:val="32"/>
        </w:rPr>
      </w:pPr>
      <w:r>
        <w:rPr>
          <w:rFonts w:hint="eastAsia" w:ascii="黑体" w:hAnsi="黑体" w:eastAsia="黑体" w:cs="黑体"/>
          <w:szCs w:val="32"/>
        </w:rPr>
        <w:t>五、奖项设置</w:t>
      </w:r>
    </w:p>
    <w:p w14:paraId="555FDD04">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szCs w:val="32"/>
        </w:rPr>
      </w:pPr>
      <w:r>
        <w:rPr>
          <w:rFonts w:hint="eastAsia"/>
          <w:szCs w:val="32"/>
        </w:rPr>
        <w:t>根据各组成绩排序：</w:t>
      </w:r>
    </w:p>
    <w:p w14:paraId="29B87008">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szCs w:val="32"/>
          <w:highlight w:val="none"/>
        </w:rPr>
      </w:pPr>
      <w:r>
        <w:rPr>
          <w:rFonts w:hint="eastAsia"/>
          <w:szCs w:val="32"/>
        </w:rPr>
        <w:t>A组：1-6名为一等</w:t>
      </w:r>
      <w:r>
        <w:rPr>
          <w:rFonts w:hint="eastAsia"/>
          <w:szCs w:val="32"/>
          <w:highlight w:val="none"/>
        </w:rPr>
        <w:t>奖；5-1</w:t>
      </w:r>
      <w:r>
        <w:rPr>
          <w:rFonts w:hint="eastAsia"/>
          <w:szCs w:val="32"/>
          <w:highlight w:val="none"/>
          <w:lang w:val="en-US" w:eastAsia="zh-CN"/>
        </w:rPr>
        <w:t>9</w:t>
      </w:r>
      <w:r>
        <w:rPr>
          <w:rFonts w:hint="eastAsia"/>
          <w:szCs w:val="32"/>
          <w:highlight w:val="none"/>
        </w:rPr>
        <w:t>名为二等奖。</w:t>
      </w:r>
    </w:p>
    <w:p w14:paraId="0B7C9156">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szCs w:val="32"/>
        </w:rPr>
      </w:pPr>
      <w:r>
        <w:rPr>
          <w:rFonts w:hint="eastAsia"/>
          <w:szCs w:val="32"/>
          <w:highlight w:val="none"/>
        </w:rPr>
        <w:t>B组：1-2名为一等奖；3-</w:t>
      </w:r>
      <w:r>
        <w:rPr>
          <w:rFonts w:hint="eastAsia"/>
          <w:szCs w:val="32"/>
          <w:highlight w:val="none"/>
          <w:lang w:val="en-US" w:eastAsia="zh-CN"/>
        </w:rPr>
        <w:t>7</w:t>
      </w:r>
      <w:r>
        <w:rPr>
          <w:rFonts w:hint="eastAsia"/>
          <w:szCs w:val="32"/>
          <w:highlight w:val="none"/>
        </w:rPr>
        <w:t>名为二</w:t>
      </w:r>
      <w:r>
        <w:rPr>
          <w:rFonts w:hint="eastAsia"/>
          <w:szCs w:val="32"/>
        </w:rPr>
        <w:t>等奖。</w:t>
      </w:r>
    </w:p>
    <w:p w14:paraId="1A62B911">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eastAsia="仿宋_GB2312"/>
          <w:szCs w:val="32"/>
          <w:lang w:val="en-US" w:eastAsia="zh-CN"/>
        </w:rPr>
      </w:pPr>
      <w:r>
        <w:rPr>
          <w:rFonts w:hint="eastAsia"/>
          <w:szCs w:val="32"/>
          <w:lang w:val="en-US" w:eastAsia="zh-CN"/>
        </w:rPr>
        <w:t>如有并列一等奖，则根据初赛成绩高低决定最终排名，如初赛成绩相同，则由</w:t>
      </w:r>
      <w:r>
        <w:rPr>
          <w:rFonts w:hint="eastAsia"/>
          <w:szCs w:val="32"/>
        </w:rPr>
        <w:t>公益项目评审</w:t>
      </w:r>
      <w:r>
        <w:rPr>
          <w:rFonts w:hint="eastAsia"/>
          <w:szCs w:val="32"/>
          <w:lang w:val="en-US" w:eastAsia="zh-CN"/>
        </w:rPr>
        <w:t>专家委员会副主任委员确定排名；如拟获二等奖的队伍中有</w:t>
      </w:r>
      <w:r>
        <w:rPr>
          <w:rFonts w:hint="eastAsia"/>
          <w:szCs w:val="32"/>
        </w:rPr>
        <w:t>分数相同者，</w:t>
      </w:r>
      <w:r>
        <w:rPr>
          <w:rFonts w:hint="eastAsia"/>
          <w:szCs w:val="32"/>
          <w:lang w:val="en-US" w:eastAsia="zh-CN"/>
        </w:rPr>
        <w:t>则</w:t>
      </w:r>
      <w:r>
        <w:rPr>
          <w:rFonts w:hint="eastAsia"/>
          <w:szCs w:val="32"/>
        </w:rPr>
        <w:t>同</w:t>
      </w:r>
      <w:r>
        <w:rPr>
          <w:rFonts w:hint="eastAsia"/>
          <w:szCs w:val="32"/>
          <w:lang w:val="en-US" w:eastAsia="zh-CN"/>
        </w:rPr>
        <w:t>获二等奖</w:t>
      </w:r>
      <w:r>
        <w:rPr>
          <w:rFonts w:hint="eastAsia"/>
          <w:szCs w:val="32"/>
        </w:rPr>
        <w:t>。</w:t>
      </w:r>
      <w:bookmarkStart w:id="0" w:name="_GoBack"/>
      <w:bookmarkEnd w:id="0"/>
    </w:p>
    <w:sectPr>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wZTE4MmQ1YzY4ZmViNjQxYjA1ZmFlODI0ODdmMzcifQ=="/>
  </w:docVars>
  <w:rsids>
    <w:rsidRoot w:val="7E3A2C6D"/>
    <w:rsid w:val="000314C0"/>
    <w:rsid w:val="000610D1"/>
    <w:rsid w:val="002F2CB1"/>
    <w:rsid w:val="003C2172"/>
    <w:rsid w:val="00475071"/>
    <w:rsid w:val="004B5033"/>
    <w:rsid w:val="008578CB"/>
    <w:rsid w:val="008B4308"/>
    <w:rsid w:val="00CE4FB0"/>
    <w:rsid w:val="00F82CF5"/>
    <w:rsid w:val="02B85543"/>
    <w:rsid w:val="0535632B"/>
    <w:rsid w:val="196D1144"/>
    <w:rsid w:val="2628108B"/>
    <w:rsid w:val="2AA94305"/>
    <w:rsid w:val="3F5A01FC"/>
    <w:rsid w:val="45DA23CE"/>
    <w:rsid w:val="52015935"/>
    <w:rsid w:val="75271ADB"/>
    <w:rsid w:val="7E3A2C6D"/>
    <w:rsid w:val="7E841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748</Words>
  <Characters>806</Characters>
  <Lines>5</Lines>
  <Paragraphs>1</Paragraphs>
  <TotalTime>310</TotalTime>
  <ScaleCrop>false</ScaleCrop>
  <LinksUpToDate>false</LinksUpToDate>
  <CharactersWithSpaces>806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2024-10-21T10:55:00Z</dcterms:created>
  <dc:creator>金融教育部</dc:creator>
  <cp:lastModifiedBy>金融教育部</cp:lastModifiedBy>
  <cp:lastPrinted>2024-10-29T07:16:11Z</cp:lastPrinted>
  <dcterms:modified xsi:type="dcterms:W3CDTF">2024-10-29T07:17:01Z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275A2F42213B486F8AC473F5F3F7BE1D_13</vt:lpwstr>
  </property>
</Properties>
</file>